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F6" w:rsidRPr="00981A67" w:rsidRDefault="00155EF6" w:rsidP="00155EF6">
      <w:pPr>
        <w:rPr>
          <w:b/>
          <w:sz w:val="32"/>
          <w:szCs w:val="32"/>
        </w:rPr>
      </w:pPr>
      <w:r w:rsidRPr="00981A67">
        <w:rPr>
          <w:b/>
          <w:sz w:val="32"/>
          <w:szCs w:val="32"/>
        </w:rPr>
        <w:t>Tilskudd til nærings- og miljøtiltak i skogbruket - 2013</w:t>
      </w:r>
    </w:p>
    <w:p w:rsidR="00155EF6" w:rsidRPr="00B65690" w:rsidRDefault="00155EF6" w:rsidP="00155EF6">
      <w:pPr>
        <w:spacing w:after="0"/>
      </w:pPr>
      <w:r w:rsidRPr="00B65690">
        <w:t>For 201</w:t>
      </w:r>
      <w:r>
        <w:t>3</w:t>
      </w:r>
      <w:r w:rsidRPr="00B65690">
        <w:t xml:space="preserve"> ble det tildelt </w:t>
      </w:r>
      <w:r>
        <w:t>30</w:t>
      </w:r>
      <w:r w:rsidRPr="00B65690">
        <w:t xml:space="preserve">0 000 kr. </w:t>
      </w:r>
      <w:r>
        <w:t>Det var søkt om et større beløp. Tilskuddsatsene er drøftet i k</w:t>
      </w:r>
      <w:r w:rsidRPr="00B65690">
        <w:t>ontaktutvalget</w:t>
      </w:r>
      <w:r>
        <w:t xml:space="preserve"> for skogbruk*.</w:t>
      </w:r>
    </w:p>
    <w:p w:rsidR="00155EF6" w:rsidRDefault="00155EF6" w:rsidP="00155EF6">
      <w:pPr>
        <w:spacing w:after="0"/>
      </w:pPr>
    </w:p>
    <w:p w:rsidR="00155EF6" w:rsidRDefault="00155EF6" w:rsidP="00155EF6">
      <w:pPr>
        <w:spacing w:after="0"/>
      </w:pPr>
      <w:r>
        <w:t>For å være berettiget tilskudd må ulike retningslinjer følges.</w:t>
      </w:r>
    </w:p>
    <w:p w:rsidR="00155EF6" w:rsidRPr="00B65690" w:rsidRDefault="00155EF6" w:rsidP="00155EF6">
      <w:pPr>
        <w:spacing w:after="0"/>
      </w:pPr>
      <w:r>
        <w:t xml:space="preserve"> </w:t>
      </w:r>
    </w:p>
    <w:p w:rsidR="00155EF6" w:rsidRPr="00B65690" w:rsidRDefault="00155EF6" w:rsidP="00155EF6">
      <w:pPr>
        <w:spacing w:after="0"/>
        <w:rPr>
          <w:b/>
        </w:rPr>
      </w:pPr>
      <w:r w:rsidRPr="00B65690">
        <w:rPr>
          <w:b/>
        </w:rPr>
        <w:t>Markberedning</w:t>
      </w:r>
    </w:p>
    <w:p w:rsidR="00155EF6" w:rsidRPr="00C03A09" w:rsidRDefault="00155EF6" w:rsidP="00155EF6">
      <w:pPr>
        <w:spacing w:after="0"/>
      </w:pPr>
      <w:r>
        <w:t>4</w:t>
      </w:r>
      <w:r w:rsidRPr="00B65690">
        <w:t xml:space="preserve">0 % av kostnad. Maks </w:t>
      </w:r>
      <w:r>
        <w:t>10</w:t>
      </w:r>
      <w:r w:rsidRPr="00B65690">
        <w:t xml:space="preserve">0 kr /daa </w:t>
      </w:r>
    </w:p>
    <w:p w:rsidR="00155EF6" w:rsidRDefault="00155EF6" w:rsidP="00155EF6">
      <w:pPr>
        <w:spacing w:after="0"/>
        <w:rPr>
          <w:b/>
        </w:rPr>
      </w:pPr>
    </w:p>
    <w:p w:rsidR="00155EF6" w:rsidRPr="00B65690" w:rsidRDefault="00155EF6" w:rsidP="00155EF6">
      <w:pPr>
        <w:spacing w:after="0"/>
        <w:rPr>
          <w:b/>
        </w:rPr>
      </w:pPr>
      <w:r w:rsidRPr="00B65690">
        <w:rPr>
          <w:b/>
        </w:rPr>
        <w:t>Planting</w:t>
      </w:r>
    </w:p>
    <w:p w:rsidR="00155EF6" w:rsidRDefault="00155EF6" w:rsidP="00155EF6">
      <w:pPr>
        <w:spacing w:after="0"/>
      </w:pPr>
      <w:r>
        <w:t xml:space="preserve">Samme sats som i 2012, dvs. </w:t>
      </w:r>
      <w:r w:rsidRPr="00B65690">
        <w:t>25 % av kostnad. Maks 1,50 kr/pl</w:t>
      </w:r>
      <w:r>
        <w:t>ante. Dvs. 0,75 kr for plantearbeid, og 0,75 kr for plantekjøp.</w:t>
      </w:r>
    </w:p>
    <w:p w:rsidR="00155EF6" w:rsidRPr="00B65690" w:rsidRDefault="00155EF6" w:rsidP="00155EF6">
      <w:pPr>
        <w:spacing w:after="0"/>
      </w:pPr>
    </w:p>
    <w:p w:rsidR="00155EF6" w:rsidRPr="00B65690" w:rsidRDefault="00155EF6" w:rsidP="00155EF6">
      <w:pPr>
        <w:spacing w:after="0"/>
      </w:pPr>
      <w:r w:rsidRPr="00B65690">
        <w:t>Regionale retningslinjer for tilskudd.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55EF6" w:rsidRPr="00B65690" w:rsidTr="00F77A57">
        <w:tc>
          <w:tcPr>
            <w:tcW w:w="2303" w:type="dxa"/>
          </w:tcPr>
          <w:p w:rsidR="00155EF6" w:rsidRPr="001E0D8D" w:rsidRDefault="00155EF6" w:rsidP="00F77A57">
            <w:pPr>
              <w:spacing w:after="0"/>
              <w:jc w:val="center"/>
              <w:rPr>
                <w:b/>
              </w:rPr>
            </w:pPr>
            <w:r w:rsidRPr="001E0D8D">
              <w:rPr>
                <w:b/>
              </w:rPr>
              <w:t>Bonitet</w:t>
            </w:r>
          </w:p>
        </w:tc>
        <w:tc>
          <w:tcPr>
            <w:tcW w:w="2303" w:type="dxa"/>
          </w:tcPr>
          <w:p w:rsidR="00155EF6" w:rsidRPr="001E0D8D" w:rsidRDefault="00155EF6" w:rsidP="00F77A57">
            <w:pPr>
              <w:spacing w:after="0"/>
              <w:jc w:val="center"/>
              <w:rPr>
                <w:b/>
              </w:rPr>
            </w:pPr>
            <w:r w:rsidRPr="001E0D8D">
              <w:rPr>
                <w:b/>
              </w:rPr>
              <w:t>Gran</w:t>
            </w:r>
          </w:p>
        </w:tc>
        <w:tc>
          <w:tcPr>
            <w:tcW w:w="2303" w:type="dxa"/>
          </w:tcPr>
          <w:p w:rsidR="00155EF6" w:rsidRPr="001E0D8D" w:rsidRDefault="00155EF6" w:rsidP="00F77A57">
            <w:pPr>
              <w:spacing w:after="0"/>
              <w:jc w:val="center"/>
              <w:rPr>
                <w:b/>
              </w:rPr>
            </w:pPr>
            <w:r w:rsidRPr="001E0D8D">
              <w:rPr>
                <w:b/>
              </w:rPr>
              <w:t>Furu</w:t>
            </w:r>
          </w:p>
        </w:tc>
        <w:tc>
          <w:tcPr>
            <w:tcW w:w="2303" w:type="dxa"/>
          </w:tcPr>
          <w:p w:rsidR="00155EF6" w:rsidRPr="001E0D8D" w:rsidRDefault="00155EF6" w:rsidP="00F77A57">
            <w:pPr>
              <w:spacing w:after="0"/>
              <w:jc w:val="center"/>
              <w:rPr>
                <w:b/>
              </w:rPr>
            </w:pPr>
            <w:r w:rsidRPr="001E0D8D">
              <w:rPr>
                <w:b/>
              </w:rPr>
              <w:t>Lauv</w:t>
            </w:r>
          </w:p>
        </w:tc>
      </w:tr>
      <w:tr w:rsidR="00155EF6" w:rsidRPr="00B65690" w:rsidTr="00F77A57"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20 +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220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250 (NF)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200 (NF)</w:t>
            </w:r>
          </w:p>
        </w:tc>
      </w:tr>
      <w:tr w:rsidR="00155EF6" w:rsidRPr="00B65690" w:rsidTr="00F77A57"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17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190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220 (NF)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170 (NF)</w:t>
            </w:r>
          </w:p>
        </w:tc>
      </w:tr>
      <w:tr w:rsidR="00155EF6" w:rsidRPr="00B65690" w:rsidTr="00F77A57"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14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160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200(NF)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140 (NF)</w:t>
            </w:r>
          </w:p>
        </w:tc>
      </w:tr>
      <w:tr w:rsidR="00155EF6" w:rsidRPr="00B65690" w:rsidTr="00F77A57"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11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120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180 (NF)</w:t>
            </w:r>
          </w:p>
        </w:tc>
        <w:tc>
          <w:tcPr>
            <w:tcW w:w="2303" w:type="dxa"/>
          </w:tcPr>
          <w:p w:rsidR="00155EF6" w:rsidRPr="00B65690" w:rsidRDefault="00155EF6" w:rsidP="00F77A57">
            <w:pPr>
              <w:spacing w:after="0"/>
              <w:jc w:val="center"/>
            </w:pPr>
            <w:r w:rsidRPr="00B65690">
              <w:t>80 (NF)</w:t>
            </w:r>
          </w:p>
        </w:tc>
      </w:tr>
    </w:tbl>
    <w:p w:rsidR="00155EF6" w:rsidRPr="001E0D8D" w:rsidRDefault="00155EF6" w:rsidP="00155EF6">
      <w:pPr>
        <w:spacing w:after="0"/>
        <w:rPr>
          <w:sz w:val="16"/>
          <w:szCs w:val="16"/>
        </w:rPr>
      </w:pPr>
      <w:r w:rsidRPr="001E0D8D">
        <w:rPr>
          <w:sz w:val="16"/>
          <w:szCs w:val="16"/>
        </w:rPr>
        <w:t>NF – naturlig foryngelse</w:t>
      </w:r>
    </w:p>
    <w:p w:rsidR="00155EF6" w:rsidRDefault="00155EF6" w:rsidP="00155EF6">
      <w:pPr>
        <w:spacing w:after="0"/>
      </w:pPr>
    </w:p>
    <w:p w:rsidR="00155EF6" w:rsidRDefault="00155EF6" w:rsidP="00155EF6">
      <w:pPr>
        <w:spacing w:after="0"/>
      </w:pPr>
      <w:r w:rsidRPr="00B65690">
        <w:t>På markberedte felt der det er lagt opp til delvis naturlig fo</w:t>
      </w:r>
      <w:r>
        <w:t xml:space="preserve">ryngelse i tillegg til planting, </w:t>
      </w:r>
      <w:r w:rsidRPr="00B65690">
        <w:t xml:space="preserve">må en vurdere plantetall og markberedte flekker sammen. For markberedte felt kan plantetallet reduseres med 20 %. </w:t>
      </w:r>
    </w:p>
    <w:p w:rsidR="00155EF6" w:rsidRDefault="00155EF6" w:rsidP="00155EF6">
      <w:pPr>
        <w:spacing w:after="0"/>
      </w:pPr>
    </w:p>
    <w:p w:rsidR="00155EF6" w:rsidRPr="00B65690" w:rsidRDefault="00155EF6" w:rsidP="00155EF6">
      <w:pPr>
        <w:spacing w:after="0"/>
      </w:pPr>
      <w:r>
        <w:t>For at det skal produseres god kvalitet</w:t>
      </w:r>
      <w:r w:rsidRPr="00B65690">
        <w:t xml:space="preserve"> </w:t>
      </w:r>
      <w:r>
        <w:t>i</w:t>
      </w:r>
      <w:r w:rsidRPr="00B65690">
        <w:t xml:space="preserve"> framtidsskogen</w:t>
      </w:r>
      <w:r w:rsidRPr="00424623">
        <w:t xml:space="preserve"> </w:t>
      </w:r>
      <w:r>
        <w:t xml:space="preserve">er det viktig å ha </w:t>
      </w:r>
      <w:r w:rsidRPr="00B65690">
        <w:t xml:space="preserve">fokus på </w:t>
      </w:r>
      <w:r>
        <w:t xml:space="preserve">riktig </w:t>
      </w:r>
      <w:r w:rsidRPr="00B65690">
        <w:t xml:space="preserve">plantetall. </w:t>
      </w:r>
      <w:r>
        <w:t xml:space="preserve">En vet at </w:t>
      </w:r>
      <w:r w:rsidRPr="00B65690">
        <w:t xml:space="preserve">det er viktig </w:t>
      </w:r>
      <w:r>
        <w:t xml:space="preserve">med </w:t>
      </w:r>
      <w:r w:rsidRPr="00B65690">
        <w:t>tilstrekkelig utgangstetthet for at vi skal få en tilfredsstillende kvalitet på skogen i framtida.</w:t>
      </w:r>
      <w:r>
        <w:t xml:space="preserve"> Står plantene for glissent vil det bli kvistrikt virke med stor andel ungdomsved (som har dårlige </w:t>
      </w:r>
      <w:proofErr w:type="spellStart"/>
      <w:r>
        <w:t>virkesegenskaper</w:t>
      </w:r>
      <w:proofErr w:type="spellEnd"/>
      <w:r>
        <w:t xml:space="preserve">). </w:t>
      </w:r>
    </w:p>
    <w:p w:rsidR="00155EF6" w:rsidRPr="00B65690" w:rsidRDefault="00155EF6" w:rsidP="00155EF6">
      <w:pPr>
        <w:spacing w:after="0"/>
        <w:rPr>
          <w:b/>
        </w:rPr>
      </w:pPr>
    </w:p>
    <w:p w:rsidR="00155EF6" w:rsidRPr="00B65690" w:rsidRDefault="00155EF6" w:rsidP="00155EF6">
      <w:pPr>
        <w:spacing w:after="0"/>
        <w:rPr>
          <w:b/>
        </w:rPr>
      </w:pPr>
      <w:proofErr w:type="spellStart"/>
      <w:r w:rsidRPr="00B65690">
        <w:rPr>
          <w:b/>
        </w:rPr>
        <w:t>Ungskogpleie</w:t>
      </w:r>
      <w:proofErr w:type="spellEnd"/>
    </w:p>
    <w:p w:rsidR="00155EF6" w:rsidRPr="00B65690" w:rsidRDefault="00155EF6" w:rsidP="00155EF6">
      <w:pPr>
        <w:spacing w:after="0"/>
      </w:pPr>
      <w:r>
        <w:t>50</w:t>
      </w:r>
      <w:r w:rsidRPr="00B65690">
        <w:t xml:space="preserve"> % av kostnad. Maks 1</w:t>
      </w:r>
      <w:r>
        <w:t>8</w:t>
      </w:r>
      <w:r w:rsidRPr="00B65690">
        <w:t>0 kr /daa. Bonitet 11 og bedre.</w:t>
      </w:r>
    </w:p>
    <w:p w:rsidR="00155EF6" w:rsidRPr="00B65690" w:rsidRDefault="00155EF6" w:rsidP="00155EF6">
      <w:pPr>
        <w:spacing w:after="0"/>
      </w:pPr>
      <w:r w:rsidRPr="00B65690">
        <w:t xml:space="preserve">I </w:t>
      </w:r>
      <w:proofErr w:type="spellStart"/>
      <w:r w:rsidRPr="00B65690">
        <w:t>ungskogpleien</w:t>
      </w:r>
      <w:proofErr w:type="spellEnd"/>
      <w:r w:rsidRPr="00B65690">
        <w:t xml:space="preserve"> er det viktig at en samtidig med lauvryddinga regulerer i </w:t>
      </w:r>
      <w:proofErr w:type="spellStart"/>
      <w:r w:rsidRPr="00B65690">
        <w:t>hovedtreslaget</w:t>
      </w:r>
      <w:proofErr w:type="spellEnd"/>
      <w:r>
        <w:t>.</w:t>
      </w:r>
      <w:r w:rsidRPr="00B65690">
        <w:t xml:space="preserve"> Der det er forutsetning for det, skal det settes igjen minimum 10 % lauv i foryngelsesfeltene.</w:t>
      </w:r>
    </w:p>
    <w:p w:rsidR="00155EF6" w:rsidRPr="00B65690" w:rsidRDefault="00155EF6" w:rsidP="00155EF6">
      <w:pPr>
        <w:spacing w:after="0"/>
      </w:pPr>
    </w:p>
    <w:p w:rsidR="00155EF6" w:rsidRPr="00B65690" w:rsidRDefault="00155EF6" w:rsidP="00155EF6">
      <w:pPr>
        <w:spacing w:after="0"/>
        <w:rPr>
          <w:b/>
        </w:rPr>
      </w:pPr>
      <w:r w:rsidRPr="00B65690">
        <w:rPr>
          <w:b/>
        </w:rPr>
        <w:t xml:space="preserve">Førstegangstynning                       </w:t>
      </w:r>
    </w:p>
    <w:p w:rsidR="00155EF6" w:rsidRDefault="00155EF6" w:rsidP="00155EF6">
      <w:pPr>
        <w:spacing w:after="0"/>
      </w:pPr>
      <w:r>
        <w:t>M</w:t>
      </w:r>
      <w:r w:rsidRPr="00B65690">
        <w:t xml:space="preserve">askinell </w:t>
      </w:r>
      <w:proofErr w:type="gramStart"/>
      <w:r w:rsidRPr="00B65690">
        <w:t>førstegangstynning</w:t>
      </w:r>
      <w:r>
        <w:t xml:space="preserve"> :</w:t>
      </w:r>
      <w:proofErr w:type="gramEnd"/>
      <w:r>
        <w:tab/>
        <w:t>Varierende mellom 3</w:t>
      </w:r>
      <w:r w:rsidRPr="00B65690">
        <w:t xml:space="preserve">0 </w:t>
      </w:r>
      <w:r>
        <w:t xml:space="preserve">-70 kr /m3 avhengig av utgangstetthet. Retningslinjer som er utarbeidet av fylkesmannen i Nord-Trøndelag benyttes. </w:t>
      </w:r>
    </w:p>
    <w:p w:rsidR="00155EF6" w:rsidRPr="00B65690" w:rsidRDefault="00155EF6" w:rsidP="00155EF6">
      <w:pPr>
        <w:spacing w:after="0"/>
      </w:pPr>
      <w:r>
        <w:t xml:space="preserve"> </w:t>
      </w:r>
      <w:r w:rsidRPr="00B65690">
        <w:t xml:space="preserve"> </w:t>
      </w:r>
    </w:p>
    <w:p w:rsidR="00155EF6" w:rsidRPr="00B65690" w:rsidRDefault="00155EF6" w:rsidP="00155EF6">
      <w:pPr>
        <w:spacing w:after="0"/>
      </w:pPr>
      <w:r>
        <w:t>M</w:t>
      </w:r>
      <w:r w:rsidRPr="00B65690">
        <w:t>anuell førstegangstynning gran</w:t>
      </w:r>
      <w:r>
        <w:t xml:space="preserve"> og furu: </w:t>
      </w:r>
      <w:r w:rsidRPr="00B65690">
        <w:t>1</w:t>
      </w:r>
      <w:r>
        <w:t>0</w:t>
      </w:r>
      <w:r w:rsidRPr="00B65690">
        <w:t>0 kr/m3</w:t>
      </w:r>
    </w:p>
    <w:p w:rsidR="00155EF6" w:rsidRDefault="00155EF6" w:rsidP="00155EF6">
      <w:pPr>
        <w:spacing w:after="0"/>
      </w:pPr>
    </w:p>
    <w:p w:rsidR="00155EF6" w:rsidRDefault="00155EF6" w:rsidP="00155EF6">
      <w:pPr>
        <w:spacing w:after="0"/>
      </w:pPr>
      <w:r>
        <w:t>--</w:t>
      </w:r>
    </w:p>
    <w:p w:rsidR="00155EF6" w:rsidRDefault="00155EF6" w:rsidP="00155EF6">
      <w:pPr>
        <w:spacing w:after="0"/>
      </w:pPr>
      <w:r>
        <w:t xml:space="preserve">*Kontaktutvalget for skogbruk består av leder i Malvik skogeierlag Jens N. Jenssen, skogbruksleder Trond </w:t>
      </w:r>
      <w:proofErr w:type="spellStart"/>
      <w:r>
        <w:t>Borgan</w:t>
      </w:r>
      <w:proofErr w:type="spellEnd"/>
      <w:r>
        <w:t xml:space="preserve"> og Malvik kommune ved rådgiver skogbruk Kjetil Tolvstad.</w:t>
      </w:r>
    </w:p>
    <w:p w:rsidR="00155EF6" w:rsidRDefault="00155EF6" w:rsidP="00155EF6">
      <w:pPr>
        <w:spacing w:after="0"/>
      </w:pPr>
    </w:p>
    <w:p w:rsidR="00155EF6" w:rsidRPr="00B65690" w:rsidRDefault="00155EF6" w:rsidP="00155EF6">
      <w:pPr>
        <w:spacing w:after="0"/>
      </w:pPr>
    </w:p>
    <w:p w:rsidR="00155EF6" w:rsidRPr="00B65690" w:rsidRDefault="00155EF6" w:rsidP="00155EF6">
      <w:pPr>
        <w:spacing w:after="0"/>
        <w:rPr>
          <w:b/>
        </w:rPr>
      </w:pPr>
      <w:r>
        <w:rPr>
          <w:b/>
        </w:rPr>
        <w:t>Frist</w:t>
      </w:r>
    </w:p>
    <w:p w:rsidR="00155EF6" w:rsidRDefault="00155EF6" w:rsidP="00155EF6">
      <w:pPr>
        <w:spacing w:after="0"/>
      </w:pPr>
      <w:r>
        <w:t xml:space="preserve">Prinsipp: </w:t>
      </w:r>
      <w:r w:rsidRPr="00534536">
        <w:rPr>
          <w:u w:val="single"/>
        </w:rPr>
        <w:t>førstemann til mølla</w:t>
      </w:r>
      <w:r>
        <w:t xml:space="preserve"> inntil det er tomt for tilskudd. </w:t>
      </w:r>
    </w:p>
    <w:p w:rsidR="00155EF6" w:rsidRDefault="00155EF6" w:rsidP="00155EF6">
      <w:pPr>
        <w:spacing w:after="0"/>
      </w:pPr>
    </w:p>
    <w:p w:rsidR="00155EF6" w:rsidRPr="00836AA3" w:rsidRDefault="00155EF6" w:rsidP="00155EF6">
      <w:pPr>
        <w:spacing w:after="0"/>
        <w:rPr>
          <w:b/>
          <w:u w:val="single"/>
        </w:rPr>
      </w:pPr>
      <w:r w:rsidRPr="00836AA3">
        <w:rPr>
          <w:b/>
          <w:u w:val="single"/>
        </w:rPr>
        <w:t>Siste frist for å få tilskudd i 2013 er 1. desember.</w:t>
      </w:r>
    </w:p>
    <w:p w:rsidR="00155EF6" w:rsidRDefault="00155EF6" w:rsidP="00155EF6">
      <w:pPr>
        <w:spacing w:after="0"/>
      </w:pPr>
    </w:p>
    <w:p w:rsidR="00155EF6" w:rsidRDefault="00155EF6" w:rsidP="00155EF6">
      <w:pPr>
        <w:spacing w:after="0"/>
      </w:pPr>
      <w:r w:rsidRPr="00B65690">
        <w:t xml:space="preserve">Det er viktig for disponeringen av tilskuddspotten at skogeiere som har utført tiltak </w:t>
      </w:r>
      <w:r w:rsidRPr="00C03A09">
        <w:t>sender inn søknad så snart som mulig etter gjennomføring. Vi får da tidlig en oversikt over for</w:t>
      </w:r>
      <w:r w:rsidRPr="00B65690">
        <w:t>bruket</w:t>
      </w:r>
      <w:r>
        <w:t>, noe som gir mulighet for eventuelt å søke om ekstrabevilgning</w:t>
      </w:r>
      <w:r w:rsidRPr="00B65690">
        <w:t>.</w:t>
      </w:r>
      <w:r>
        <w:t xml:space="preserve">  Dette er spesielt viktig i år da det er et stort plantebehov. </w:t>
      </w:r>
    </w:p>
    <w:p w:rsidR="00155EF6" w:rsidRDefault="00155EF6" w:rsidP="00155EF6">
      <w:pPr>
        <w:spacing w:after="0"/>
      </w:pPr>
    </w:p>
    <w:p w:rsidR="00155EF6" w:rsidRDefault="00155EF6" w:rsidP="00155EF6">
      <w:pPr>
        <w:spacing w:after="0"/>
      </w:pPr>
    </w:p>
    <w:p w:rsidR="00155EF6" w:rsidRPr="00E20868" w:rsidRDefault="00155EF6" w:rsidP="00155EF6">
      <w:pPr>
        <w:spacing w:after="0"/>
        <w:rPr>
          <w:b/>
        </w:rPr>
      </w:pPr>
      <w:r w:rsidRPr="00E20868">
        <w:rPr>
          <w:b/>
        </w:rPr>
        <w:t>Skjema</w:t>
      </w:r>
    </w:p>
    <w:p w:rsidR="00155EF6" w:rsidRDefault="00155EF6" w:rsidP="00155EF6">
      <w:pPr>
        <w:spacing w:after="0"/>
      </w:pPr>
      <w:r>
        <w:t xml:space="preserve">Skjema SLF 909-B skal benyttes. Dette finnes på hjemmesidene til statens landbruksforvaltning (SLF) eller fås hos landbruksforvaltningen. Husk å </w:t>
      </w:r>
      <w:r w:rsidRPr="008C410F">
        <w:rPr>
          <w:u w:val="single"/>
        </w:rPr>
        <w:t>signere</w:t>
      </w:r>
      <w:r>
        <w:t xml:space="preserve"> samt å velge om </w:t>
      </w:r>
      <w:r w:rsidRPr="008C410F">
        <w:rPr>
          <w:u w:val="single"/>
        </w:rPr>
        <w:t>MVA</w:t>
      </w:r>
      <w:r>
        <w:t xml:space="preserve"> skal dekkes av skogfond.</w:t>
      </w:r>
    </w:p>
    <w:p w:rsidR="00155EF6" w:rsidRDefault="00155EF6" w:rsidP="00155EF6">
      <w:pPr>
        <w:spacing w:after="0"/>
      </w:pPr>
    </w:p>
    <w:p w:rsidR="00DD5925" w:rsidRPr="00155EF6" w:rsidRDefault="00DD5925" w:rsidP="00155EF6"/>
    <w:sectPr w:rsidR="00DD5925" w:rsidRPr="00155EF6" w:rsidSect="00DD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55EF6"/>
    <w:rsid w:val="00155EF6"/>
    <w:rsid w:val="001A1E49"/>
    <w:rsid w:val="002C0FB2"/>
    <w:rsid w:val="00DD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F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2134</Characters>
  <Application>Microsoft Office Word</Application>
  <DocSecurity>0</DocSecurity>
  <Lines>17</Lines>
  <Paragraphs>5</Paragraphs>
  <ScaleCrop>false</ScaleCrop>
  <Company>Malvik kommune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KJETOL</dc:creator>
  <cp:lastModifiedBy>KJETOL</cp:lastModifiedBy>
  <cp:revision>1</cp:revision>
  <dcterms:created xsi:type="dcterms:W3CDTF">2013-05-28T10:35:00Z</dcterms:created>
  <dcterms:modified xsi:type="dcterms:W3CDTF">2013-05-28T10:37:00Z</dcterms:modified>
</cp:coreProperties>
</file>